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8B2" w:rsidRDefault="00A168B2" w:rsidP="00A168B2">
      <w:pPr>
        <w:pStyle w:val="SectionHeading"/>
        <w:rPr>
          <w:rFonts w:ascii="Times New Roman" w:hAnsi="Times New Roman" w:cs="Times New Roman"/>
          <w:sz w:val="22"/>
          <w:szCs w:val="22"/>
        </w:rPr>
      </w:pPr>
      <w:bookmarkStart w:id="0" w:name="_Toc106185167"/>
      <w:bookmarkStart w:id="1" w:name="_Toc51577797"/>
      <w:bookmarkStart w:id="2" w:name="_Toc51577705"/>
      <w:r>
        <w:rPr>
          <w:rFonts w:ascii="Times New Roman" w:hAnsi="Times New Roman" w:cs="Times New Roman"/>
          <w:sz w:val="22"/>
          <w:szCs w:val="22"/>
        </w:rPr>
        <w:t>Avis d’appel d’offres</w:t>
      </w:r>
      <w:bookmarkEnd w:id="0"/>
      <w:bookmarkEnd w:id="1"/>
      <w:bookmarkEnd w:id="2"/>
    </w:p>
    <w:p w:rsidR="00A168B2" w:rsidRDefault="00A168B2" w:rsidP="00A168B2">
      <w:pPr>
        <w:tabs>
          <w:tab w:val="left" w:pos="0"/>
        </w:tabs>
        <w:spacing w:before="240" w:line="240" w:lineRule="exact"/>
        <w:jc w:val="right"/>
        <w:rPr>
          <w:rFonts w:ascii="Times New Roman" w:hAnsi="Times New Roman"/>
          <w:bCs/>
          <w:i/>
          <w:iCs/>
          <w:color w:val="FF0000"/>
          <w:sz w:val="22"/>
          <w:szCs w:val="22"/>
        </w:rPr>
      </w:pPr>
      <w:r>
        <w:rPr>
          <w:rFonts w:ascii="Times New Roman" w:hAnsi="Times New Roman"/>
          <w:i/>
          <w:color w:val="FF0000"/>
          <w:sz w:val="22"/>
          <w:szCs w:val="22"/>
        </w:rPr>
        <w:t xml:space="preserve">Djibouti </w:t>
      </w:r>
    </w:p>
    <w:p w:rsidR="00A168B2" w:rsidRDefault="00A168B2" w:rsidP="00A168B2">
      <w:pPr>
        <w:tabs>
          <w:tab w:val="left" w:pos="0"/>
        </w:tabs>
        <w:spacing w:before="240" w:line="240" w:lineRule="exact"/>
        <w:jc w:val="right"/>
        <w:rPr>
          <w:rFonts w:ascii="Times New Roman" w:hAnsi="Times New Roman"/>
          <w:b/>
          <w:bCs/>
          <w:i/>
          <w:iCs/>
          <w:color w:val="FF0000"/>
          <w:sz w:val="22"/>
          <w:szCs w:val="22"/>
        </w:rPr>
      </w:pPr>
      <w:r>
        <w:rPr>
          <w:rFonts w:ascii="Times New Roman" w:hAnsi="Times New Roman"/>
          <w:b/>
          <w:i/>
          <w:color w:val="FF0000"/>
          <w:sz w:val="22"/>
          <w:szCs w:val="22"/>
        </w:rPr>
        <w:t>27/10/2025</w:t>
      </w:r>
    </w:p>
    <w:p w:rsidR="00A168B2" w:rsidRDefault="00A168B2" w:rsidP="00A168B2">
      <w:pPr>
        <w:tabs>
          <w:tab w:val="left" w:pos="0"/>
        </w:tabs>
        <w:spacing w:before="240" w:line="240" w:lineRule="exact"/>
        <w:jc w:val="center"/>
        <w:rPr>
          <w:rFonts w:ascii="Times New Roman" w:hAnsi="Times New Roman"/>
          <w:i/>
          <w:sz w:val="22"/>
          <w:szCs w:val="22"/>
        </w:rPr>
      </w:pPr>
      <w:r>
        <w:rPr>
          <w:rFonts w:ascii="Times New Roman" w:hAnsi="Times New Roman"/>
          <w:i/>
          <w:sz w:val="22"/>
          <w:szCs w:val="22"/>
        </w:rPr>
        <w:t xml:space="preserve">Concerne : </w:t>
      </w:r>
    </w:p>
    <w:p w:rsidR="00A168B2" w:rsidRDefault="00A168B2" w:rsidP="00A168B2">
      <w:pPr>
        <w:tabs>
          <w:tab w:val="left" w:pos="0"/>
        </w:tabs>
        <w:jc w:val="center"/>
        <w:rPr>
          <w:rFonts w:ascii="Times New Roman" w:hAnsi="Times New Roman"/>
          <w:b/>
          <w:sz w:val="22"/>
          <w:szCs w:val="22"/>
        </w:rPr>
      </w:pPr>
      <w:r>
        <w:rPr>
          <w:rFonts w:ascii="Times New Roman" w:hAnsi="Times New Roman"/>
          <w:b/>
          <w:i/>
          <w:color w:val="FF0000"/>
          <w:sz w:val="22"/>
          <w:szCs w:val="22"/>
        </w:rPr>
        <w:t>AON N°01/2025TRX/PGIRE</w:t>
      </w:r>
    </w:p>
    <w:p w:rsidR="00A168B2" w:rsidRDefault="00A168B2" w:rsidP="00A168B2">
      <w:pPr>
        <w:rPr>
          <w:rFonts w:ascii="Times New Roman" w:hAnsi="Times New Roman"/>
          <w:b/>
          <w:bCs/>
          <w:sz w:val="22"/>
          <w:szCs w:val="22"/>
        </w:rPr>
      </w:pPr>
    </w:p>
    <w:p w:rsidR="00A168B2" w:rsidRDefault="00A168B2" w:rsidP="00A168B2">
      <w:pPr>
        <w:jc w:val="center"/>
        <w:rPr>
          <w:rStyle w:val="Lienhypertexte"/>
          <w:noProof/>
        </w:rPr>
      </w:pPr>
      <w:r>
        <w:rPr>
          <w:rStyle w:val="Lienhypertexte"/>
          <w:rFonts w:ascii="Times New Roman" w:hAnsi="Times New Roman"/>
          <w:b/>
          <w:bCs/>
          <w:noProof/>
          <w:sz w:val="22"/>
          <w:szCs w:val="22"/>
        </w:rPr>
        <w:t>Construction de bâtiments liés aux Activités Génératrices de Revenus (AGR) dans les trois régions : Obock, Tadjourah et Dikhil.</w:t>
      </w:r>
    </w:p>
    <w:p w:rsidR="00A168B2" w:rsidRDefault="00A168B2" w:rsidP="00A168B2">
      <w:pPr>
        <w:jc w:val="center"/>
        <w:rPr>
          <w:sz w:val="22"/>
          <w:szCs w:val="22"/>
        </w:rPr>
      </w:pPr>
    </w:p>
    <w:p w:rsidR="00A168B2" w:rsidRPr="00A168B2" w:rsidRDefault="00A168B2" w:rsidP="00A168B2">
      <w:pPr>
        <w:numPr>
          <w:ilvl w:val="0"/>
          <w:numId w:val="1"/>
        </w:numPr>
        <w:jc w:val="both"/>
        <w:rPr>
          <w:rFonts w:ascii="Times New Roman" w:hAnsi="Times New Roman"/>
        </w:rPr>
      </w:pPr>
      <w:r w:rsidRPr="00A168B2">
        <w:rPr>
          <w:rFonts w:ascii="Times New Roman" w:hAnsi="Times New Roman"/>
          <w:sz w:val="22"/>
          <w:szCs w:val="22"/>
          <w:lang/>
        </w:rPr>
        <w:t xml:space="preserve">Le Gouvernement de la République de Djibouti a obtenu un financement du Fonds International de Développement Agricole (FIDA), </w:t>
      </w:r>
      <w:r w:rsidRPr="00A168B2">
        <w:rPr>
          <w:rFonts w:ascii="Times New Roman" w:hAnsi="Times New Roman"/>
        </w:rPr>
        <w:t>un financement dont il envisage de faire partiellement usage pour couvrir l’exécution des travaux visés dans le présent marché. L’utilisation de fonds du FIDA est soumise à l’approbation de ce dernier, selon les modalités et conditions que prévoit l’accord de financement et conformément aux règles, politiques et procédures du FIDA. Le FIDA et ses agents, mandataires et employés sont dégagés de toute responsabilité concernant les actions en justice, procédures, réclamations, demandes, pertes et obligations en tout genre et de toute nature qu’une quelconque partie invoquerait dans le cadre du PGIRE.</w:t>
      </w:r>
    </w:p>
    <w:p w:rsidR="00A168B2" w:rsidRPr="00A168B2" w:rsidRDefault="00A168B2" w:rsidP="00A168B2">
      <w:pPr>
        <w:jc w:val="both"/>
        <w:rPr>
          <w:rFonts w:ascii="Times New Roman" w:hAnsi="Times New Roman"/>
        </w:rPr>
      </w:pPr>
    </w:p>
    <w:p w:rsidR="00A168B2" w:rsidRPr="00A168B2" w:rsidRDefault="00A168B2" w:rsidP="00A168B2">
      <w:pPr>
        <w:pStyle w:val="Paragraphedeliste"/>
        <w:numPr>
          <w:ilvl w:val="0"/>
          <w:numId w:val="1"/>
        </w:numPr>
        <w:tabs>
          <w:tab w:val="left" w:pos="0"/>
        </w:tabs>
        <w:spacing w:before="240" w:line="240" w:lineRule="exact"/>
        <w:jc w:val="both"/>
        <w:rPr>
          <w:rFonts w:ascii="Times New Roman" w:hAnsi="Times New Roman" w:cs="Times New Roman"/>
          <w:bCs/>
          <w:iCs/>
        </w:rPr>
      </w:pPr>
      <w:r w:rsidRPr="00A168B2">
        <w:rPr>
          <w:rFonts w:ascii="Times New Roman" w:hAnsi="Times New Roman" w:cs="Times New Roman"/>
        </w:rPr>
        <w:t xml:space="preserve">Le </w:t>
      </w:r>
      <w:r w:rsidRPr="00A168B2">
        <w:rPr>
          <w:rFonts w:ascii="Times New Roman" w:hAnsi="Times New Roman" w:cs="Times New Roman"/>
          <w:i/>
          <w:color w:val="FF0000"/>
          <w:lang w:val="fr-FR"/>
        </w:rPr>
        <w:t xml:space="preserve">PGIRE </w:t>
      </w:r>
      <w:r w:rsidRPr="00A168B2">
        <w:rPr>
          <w:rFonts w:ascii="Times New Roman" w:hAnsi="Times New Roman" w:cs="Times New Roman"/>
        </w:rPr>
        <w:t xml:space="preserve"> </w:t>
      </w:r>
      <w:r w:rsidRPr="00A168B2">
        <w:rPr>
          <w:rFonts w:ascii="Times New Roman" w:hAnsi="Times New Roman" w:cs="Times New Roman"/>
          <w:sz w:val="22"/>
          <w:szCs w:val="22"/>
          <w:lang w:val="fr-FR"/>
        </w:rPr>
        <w:t xml:space="preserve">interviendra dans la région </w:t>
      </w:r>
      <w:proofErr w:type="spellStart"/>
      <w:r w:rsidRPr="00A168B2">
        <w:rPr>
          <w:rFonts w:ascii="Times New Roman" w:hAnsi="Times New Roman" w:cs="Times New Roman"/>
          <w:sz w:val="22"/>
          <w:szCs w:val="22"/>
          <w:lang w:val="fr-FR"/>
        </w:rPr>
        <w:t>Tadjourah,Obock</w:t>
      </w:r>
      <w:proofErr w:type="spellEnd"/>
      <w:r w:rsidRPr="00A168B2">
        <w:rPr>
          <w:rFonts w:ascii="Times New Roman" w:hAnsi="Times New Roman" w:cs="Times New Roman"/>
          <w:sz w:val="22"/>
          <w:szCs w:val="22"/>
          <w:lang w:val="fr-FR"/>
        </w:rPr>
        <w:t xml:space="preserve"> et Dikhil.</w:t>
      </w:r>
    </w:p>
    <w:p w:rsidR="00A168B2" w:rsidRPr="00A168B2" w:rsidRDefault="00A168B2" w:rsidP="00A168B2">
      <w:pPr>
        <w:pStyle w:val="Paragraphedeliste"/>
        <w:numPr>
          <w:ilvl w:val="0"/>
          <w:numId w:val="1"/>
        </w:numPr>
        <w:tabs>
          <w:tab w:val="left" w:pos="0"/>
        </w:tabs>
        <w:spacing w:before="240" w:line="240" w:lineRule="exact"/>
        <w:jc w:val="both"/>
        <w:rPr>
          <w:rFonts w:ascii="Times New Roman" w:hAnsi="Times New Roman" w:cs="Times New Roman"/>
          <w:bCs/>
          <w:iCs/>
        </w:rPr>
      </w:pPr>
      <w:r w:rsidRPr="00A168B2">
        <w:rPr>
          <w:rFonts w:ascii="Times New Roman" w:hAnsi="Times New Roman" w:cs="Times New Roman"/>
        </w:rPr>
        <w:t xml:space="preserve">Le présent appel d’offres fait suite à l’avis général de passation des marchés publié sur le site web du FIDA le </w:t>
      </w:r>
      <w:r w:rsidRPr="00A168B2">
        <w:rPr>
          <w:rFonts w:ascii="Times New Roman" w:hAnsi="Times New Roman" w:cs="Times New Roman"/>
          <w:i/>
          <w:color w:val="FF0000"/>
        </w:rPr>
        <w:t>[</w:t>
      </w:r>
      <w:r w:rsidRPr="00A168B2">
        <w:rPr>
          <w:rFonts w:ascii="Times New Roman" w:hAnsi="Times New Roman" w:cs="Times New Roman"/>
          <w:i/>
          <w:iCs/>
          <w:color w:val="FF0000"/>
        </w:rPr>
        <w:t>date</w:t>
      </w:r>
      <w:r w:rsidRPr="00A168B2">
        <w:rPr>
          <w:rFonts w:ascii="Times New Roman" w:hAnsi="Times New Roman" w:cs="Times New Roman"/>
          <w:i/>
          <w:color w:val="FF0000"/>
        </w:rPr>
        <w:t>]</w:t>
      </w:r>
      <w:r w:rsidRPr="00A168B2">
        <w:rPr>
          <w:rFonts w:ascii="Times New Roman" w:hAnsi="Times New Roman" w:cs="Times New Roman"/>
        </w:rPr>
        <w:t xml:space="preserve">, sur le site web hébergeant la base de données United Nations </w:t>
      </w:r>
      <w:proofErr w:type="spellStart"/>
      <w:r w:rsidRPr="00A168B2">
        <w:rPr>
          <w:rFonts w:ascii="Times New Roman" w:hAnsi="Times New Roman" w:cs="Times New Roman"/>
        </w:rPr>
        <w:t>Development</w:t>
      </w:r>
      <w:proofErr w:type="spellEnd"/>
      <w:r w:rsidRPr="00A168B2">
        <w:rPr>
          <w:rFonts w:ascii="Times New Roman" w:hAnsi="Times New Roman" w:cs="Times New Roman"/>
        </w:rPr>
        <w:t xml:space="preserve"> Business (UNDB) le </w:t>
      </w:r>
      <w:r w:rsidRPr="00A168B2">
        <w:rPr>
          <w:rFonts w:ascii="Times New Roman" w:hAnsi="Times New Roman" w:cs="Times New Roman"/>
          <w:i/>
          <w:color w:val="FF0000"/>
        </w:rPr>
        <w:t>[</w:t>
      </w:r>
      <w:r w:rsidRPr="00A168B2">
        <w:rPr>
          <w:rFonts w:ascii="Times New Roman" w:hAnsi="Times New Roman" w:cs="Times New Roman"/>
          <w:i/>
          <w:iCs/>
          <w:color w:val="FF0000"/>
        </w:rPr>
        <w:t>date</w:t>
      </w:r>
      <w:r w:rsidRPr="00A168B2">
        <w:rPr>
          <w:rFonts w:ascii="Times New Roman" w:hAnsi="Times New Roman" w:cs="Times New Roman"/>
          <w:i/>
          <w:color w:val="FF0000"/>
        </w:rPr>
        <w:t>]</w:t>
      </w:r>
      <w:r w:rsidRPr="00A168B2">
        <w:rPr>
          <w:rFonts w:ascii="Times New Roman" w:hAnsi="Times New Roman" w:cs="Times New Roman"/>
          <w:i/>
          <w:iCs/>
          <w:color w:val="FF0000"/>
        </w:rPr>
        <w:t xml:space="preserve"> </w:t>
      </w:r>
      <w:r w:rsidRPr="00A168B2">
        <w:rPr>
          <w:rFonts w:ascii="Times New Roman" w:hAnsi="Times New Roman" w:cs="Times New Roman"/>
        </w:rPr>
        <w:t xml:space="preserve">et dans la presse écrite </w:t>
      </w:r>
      <w:r w:rsidRPr="00A168B2">
        <w:rPr>
          <w:rFonts w:ascii="Times New Roman" w:hAnsi="Times New Roman" w:cs="Times New Roman"/>
          <w:i/>
          <w:color w:val="FF0000"/>
        </w:rPr>
        <w:t>[</w:t>
      </w:r>
      <w:r w:rsidRPr="00A168B2">
        <w:rPr>
          <w:rFonts w:ascii="Times New Roman" w:hAnsi="Times New Roman" w:cs="Times New Roman"/>
          <w:i/>
          <w:iCs/>
          <w:color w:val="FF0000"/>
        </w:rPr>
        <w:t>indiquer le nom du ou des organes de presse</w:t>
      </w:r>
      <w:r w:rsidRPr="00A168B2">
        <w:rPr>
          <w:rFonts w:ascii="Times New Roman" w:hAnsi="Times New Roman" w:cs="Times New Roman"/>
          <w:i/>
          <w:color w:val="FF0000"/>
        </w:rPr>
        <w:t>]</w:t>
      </w:r>
      <w:r w:rsidRPr="00A168B2">
        <w:rPr>
          <w:rFonts w:ascii="Times New Roman" w:hAnsi="Times New Roman" w:cs="Times New Roman"/>
          <w:color w:val="FF0000"/>
        </w:rPr>
        <w:t xml:space="preserve"> </w:t>
      </w:r>
      <w:r w:rsidRPr="00A168B2">
        <w:rPr>
          <w:rFonts w:ascii="Times New Roman" w:hAnsi="Times New Roman" w:cs="Times New Roman"/>
        </w:rPr>
        <w:t xml:space="preserve">le </w:t>
      </w:r>
      <w:r w:rsidRPr="00A168B2">
        <w:rPr>
          <w:rFonts w:ascii="Times New Roman" w:hAnsi="Times New Roman" w:cs="Times New Roman"/>
          <w:i/>
          <w:color w:val="FF0000"/>
        </w:rPr>
        <w:t>[</w:t>
      </w:r>
      <w:r w:rsidRPr="00A168B2">
        <w:rPr>
          <w:rFonts w:ascii="Times New Roman" w:hAnsi="Times New Roman" w:cs="Times New Roman"/>
          <w:i/>
          <w:iCs/>
          <w:color w:val="FF0000"/>
        </w:rPr>
        <w:t>date</w:t>
      </w:r>
      <w:r w:rsidRPr="00A168B2">
        <w:rPr>
          <w:rFonts w:ascii="Times New Roman" w:hAnsi="Times New Roman" w:cs="Times New Roman"/>
          <w:i/>
          <w:color w:val="FF0000"/>
        </w:rPr>
        <w:t>]</w:t>
      </w:r>
      <w:r w:rsidRPr="00A168B2">
        <w:rPr>
          <w:rFonts w:ascii="Times New Roman" w:hAnsi="Times New Roman" w:cs="Times New Roman"/>
        </w:rPr>
        <w:t>.</w:t>
      </w:r>
      <w:r w:rsidRPr="00A168B2">
        <w:rPr>
          <w:rFonts w:ascii="Times New Roman" w:hAnsi="Times New Roman" w:cs="Times New Roman"/>
          <w:b/>
          <w:lang w:val="fr-FR"/>
        </w:rPr>
        <w:t>Néant</w:t>
      </w:r>
    </w:p>
    <w:p w:rsidR="00A168B2" w:rsidRPr="00A168B2" w:rsidRDefault="00A168B2" w:rsidP="00A168B2">
      <w:pPr>
        <w:pStyle w:val="Paragraphedeliste"/>
        <w:numPr>
          <w:ilvl w:val="0"/>
          <w:numId w:val="1"/>
        </w:numPr>
        <w:tabs>
          <w:tab w:val="left" w:pos="0"/>
        </w:tabs>
        <w:spacing w:before="240" w:line="240" w:lineRule="exact"/>
        <w:jc w:val="both"/>
        <w:rPr>
          <w:rFonts w:ascii="Times New Roman" w:hAnsi="Times New Roman" w:cs="Times New Roman"/>
          <w:bCs/>
          <w:iCs/>
        </w:rPr>
      </w:pPr>
      <w:r w:rsidRPr="00A168B2">
        <w:rPr>
          <w:rFonts w:ascii="Times New Roman" w:hAnsi="Times New Roman" w:cs="Times New Roman"/>
        </w:rPr>
        <w:t xml:space="preserve">Le maître d’ouvrage invite à présent les entités remplissant les conditions requises ("les soumissionnaires") à faire parvenir, sous pli cacheté, leurs offres concernant l’exécution et l’achèvement de travaux de </w:t>
      </w:r>
      <w:r w:rsidRPr="00A168B2">
        <w:rPr>
          <w:rStyle w:val="Lienhypertexte"/>
          <w:rFonts w:ascii="Times New Roman" w:hAnsi="Times New Roman" w:cs="Times New Roman"/>
          <w:b/>
          <w:bCs/>
          <w:noProof/>
          <w:sz w:val="22"/>
          <w:szCs w:val="22"/>
        </w:rPr>
        <w:t>construction de bâtiments liés aux Activités Génératrices de Revenus (AGR) dans les trois régions : Obock, Tadjourah et Dikhil</w:t>
      </w:r>
      <w:r w:rsidRPr="00A168B2">
        <w:rPr>
          <w:rFonts w:ascii="Times New Roman" w:hAnsi="Times New Roman" w:cs="Times New Roman"/>
        </w:rPr>
        <w:t xml:space="preserve"> travaux faisant l’objet, dans le cadre dudit appel d’offres, d’un contrat à prix unitaires établi sur la base du devis quantitatif</w:t>
      </w:r>
      <w:r w:rsidRPr="00A168B2">
        <w:rPr>
          <w:rStyle w:val="Appelnotedebasdep"/>
          <w:rFonts w:ascii="Times New Roman" w:hAnsi="Times New Roman" w:cs="Times New Roman"/>
          <w:bCs/>
          <w:iCs/>
        </w:rPr>
        <w:footnoteReference w:id="1"/>
      </w:r>
      <w:r w:rsidRPr="00A168B2">
        <w:rPr>
          <w:rFonts w:ascii="Times New Roman" w:hAnsi="Times New Roman" w:cs="Times New Roman"/>
        </w:rPr>
        <w:t>.</w:t>
      </w:r>
    </w:p>
    <w:p w:rsidR="00A168B2" w:rsidRPr="00A168B2" w:rsidRDefault="00A168B2" w:rsidP="00A168B2">
      <w:pPr>
        <w:pStyle w:val="Paragraphedeliste"/>
        <w:numPr>
          <w:ilvl w:val="0"/>
          <w:numId w:val="1"/>
        </w:numPr>
        <w:tabs>
          <w:tab w:val="left" w:pos="0"/>
        </w:tabs>
        <w:spacing w:before="240" w:line="240" w:lineRule="exact"/>
        <w:jc w:val="both"/>
        <w:rPr>
          <w:rFonts w:ascii="Times New Roman" w:hAnsi="Times New Roman" w:cs="Times New Roman"/>
          <w:bCs/>
          <w:iCs/>
        </w:rPr>
      </w:pPr>
      <w:r w:rsidRPr="00A168B2">
        <w:rPr>
          <w:rFonts w:ascii="Times New Roman" w:hAnsi="Times New Roman" w:cs="Times New Roman"/>
        </w:rPr>
        <w:t>L’appel d’offres est ouvert à quiconque souhaite y participer, pourvu qu’il remplisse les conditions requises. Sous réserve des restrictions énoncées dans le dossier d’appel d’offres, les soumissionnaires habilités peuvent s’associer à d’autres soumissionnaires afin d’être mieux à même de réaliser l’ensemble des travaux.</w:t>
      </w:r>
    </w:p>
    <w:p w:rsidR="00A168B2" w:rsidRPr="00A168B2" w:rsidRDefault="00A168B2" w:rsidP="00A168B2">
      <w:pPr>
        <w:pStyle w:val="Paragraphedeliste"/>
        <w:numPr>
          <w:ilvl w:val="0"/>
          <w:numId w:val="1"/>
        </w:numPr>
        <w:tabs>
          <w:tab w:val="left" w:pos="0"/>
        </w:tabs>
        <w:spacing w:before="240" w:line="240" w:lineRule="exact"/>
        <w:jc w:val="both"/>
        <w:rPr>
          <w:rFonts w:ascii="Times New Roman" w:hAnsi="Times New Roman" w:cs="Times New Roman"/>
          <w:bCs/>
          <w:iCs/>
        </w:rPr>
      </w:pPr>
      <w:r w:rsidRPr="00A168B2">
        <w:rPr>
          <w:rFonts w:ascii="Times New Roman" w:hAnsi="Times New Roman" w:cs="Times New Roman"/>
        </w:rPr>
        <w:t xml:space="preserve">Les travaux ainsi que le ou les marchés qui devraient être attribués sont répartis en plusieurs lots, à savoir: </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t>Lot n°1 :</w:t>
      </w:r>
      <w:r w:rsidRPr="00A168B2">
        <w:rPr>
          <w:rFonts w:ascii="Times New Roman" w:hAnsi="Times New Roman"/>
          <w:lang w:eastAsia="fr-FR"/>
        </w:rPr>
        <w:t xml:space="preserve"> Construction de bâtiments (boulangerie, moulin et artisanat) à </w:t>
      </w:r>
      <w:proofErr w:type="spellStart"/>
      <w:r w:rsidRPr="00A168B2">
        <w:rPr>
          <w:rFonts w:ascii="Times New Roman" w:hAnsi="Times New Roman"/>
          <w:lang w:eastAsia="fr-FR"/>
        </w:rPr>
        <w:t>Dorra</w:t>
      </w:r>
      <w:proofErr w:type="spellEnd"/>
      <w:r w:rsidRPr="00A168B2">
        <w:rPr>
          <w:rFonts w:ascii="Times New Roman" w:hAnsi="Times New Roman"/>
          <w:lang w:eastAsia="fr-FR"/>
        </w:rPr>
        <w:t xml:space="preserve"> et un bâtiment (artisanat) à </w:t>
      </w:r>
      <w:proofErr w:type="spellStart"/>
      <w:r w:rsidRPr="00A168B2">
        <w:rPr>
          <w:rFonts w:ascii="Times New Roman" w:hAnsi="Times New Roman"/>
          <w:lang w:eastAsia="fr-FR"/>
        </w:rPr>
        <w:t>Otoy</w:t>
      </w:r>
      <w:proofErr w:type="spellEnd"/>
      <w:r w:rsidRPr="00A168B2">
        <w:rPr>
          <w:rFonts w:ascii="Times New Roman" w:hAnsi="Times New Roman"/>
          <w:lang w:eastAsia="fr-FR"/>
        </w:rPr>
        <w:t xml:space="preserve"> dans la région de </w:t>
      </w:r>
      <w:proofErr w:type="spellStart"/>
      <w:r w:rsidRPr="00A168B2">
        <w:rPr>
          <w:rFonts w:ascii="Times New Roman" w:hAnsi="Times New Roman"/>
          <w:lang w:eastAsia="fr-FR"/>
        </w:rPr>
        <w:t>Tadjourah</w:t>
      </w:r>
      <w:proofErr w:type="spellEnd"/>
      <w:r w:rsidRPr="00A168B2">
        <w:rPr>
          <w:rFonts w:ascii="Times New Roman" w:hAnsi="Times New Roman"/>
          <w:lang w:eastAsia="fr-FR"/>
        </w:rPr>
        <w:t>.</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t>Lot n°2 :</w:t>
      </w:r>
      <w:r w:rsidRPr="00A168B2">
        <w:rPr>
          <w:rFonts w:ascii="Times New Roman" w:hAnsi="Times New Roman"/>
          <w:lang w:eastAsia="fr-FR"/>
        </w:rPr>
        <w:t xml:space="preserve"> Construction de bâtiments dans les localités de </w:t>
      </w:r>
      <w:proofErr w:type="spellStart"/>
      <w:r w:rsidRPr="00A168B2">
        <w:rPr>
          <w:rFonts w:ascii="Times New Roman" w:hAnsi="Times New Roman"/>
          <w:lang w:eastAsia="fr-FR"/>
        </w:rPr>
        <w:t>Hagandé</w:t>
      </w:r>
      <w:proofErr w:type="spellEnd"/>
      <w:r w:rsidRPr="00A168B2">
        <w:rPr>
          <w:rFonts w:ascii="Times New Roman" w:hAnsi="Times New Roman"/>
          <w:lang w:eastAsia="fr-FR"/>
        </w:rPr>
        <w:t xml:space="preserve"> (saliculture), </w:t>
      </w:r>
      <w:proofErr w:type="spellStart"/>
      <w:r w:rsidRPr="00A168B2">
        <w:rPr>
          <w:rFonts w:ascii="Times New Roman" w:hAnsi="Times New Roman"/>
          <w:lang w:eastAsia="fr-FR"/>
        </w:rPr>
        <w:t>Balho</w:t>
      </w:r>
      <w:proofErr w:type="spellEnd"/>
      <w:r w:rsidRPr="00A168B2">
        <w:rPr>
          <w:rFonts w:ascii="Times New Roman" w:hAnsi="Times New Roman"/>
          <w:lang w:eastAsia="fr-FR"/>
        </w:rPr>
        <w:t xml:space="preserve"> (artisanat) et </w:t>
      </w:r>
      <w:proofErr w:type="spellStart"/>
      <w:r w:rsidRPr="00A168B2">
        <w:rPr>
          <w:rFonts w:ascii="Times New Roman" w:hAnsi="Times New Roman"/>
          <w:lang w:eastAsia="fr-FR"/>
        </w:rPr>
        <w:t>Malaho</w:t>
      </w:r>
      <w:proofErr w:type="spellEnd"/>
      <w:r w:rsidRPr="00A168B2">
        <w:rPr>
          <w:rFonts w:ascii="Times New Roman" w:hAnsi="Times New Roman"/>
          <w:lang w:eastAsia="fr-FR"/>
        </w:rPr>
        <w:t xml:space="preserve"> (artisanat) dans la région de </w:t>
      </w:r>
      <w:proofErr w:type="spellStart"/>
      <w:r w:rsidRPr="00A168B2">
        <w:rPr>
          <w:rFonts w:ascii="Times New Roman" w:hAnsi="Times New Roman"/>
          <w:lang w:eastAsia="fr-FR"/>
        </w:rPr>
        <w:t>Tadjourah</w:t>
      </w:r>
      <w:proofErr w:type="spellEnd"/>
      <w:r w:rsidRPr="00A168B2">
        <w:rPr>
          <w:rFonts w:ascii="Times New Roman" w:hAnsi="Times New Roman"/>
          <w:lang w:eastAsia="fr-FR"/>
        </w:rPr>
        <w:t>.</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lastRenderedPageBreak/>
        <w:t>Lot n°3 :</w:t>
      </w:r>
      <w:r w:rsidRPr="00A168B2">
        <w:rPr>
          <w:rFonts w:ascii="Times New Roman" w:hAnsi="Times New Roman"/>
          <w:lang w:eastAsia="fr-FR"/>
        </w:rPr>
        <w:t xml:space="preserve"> Construction d’un bâtiment à </w:t>
      </w:r>
      <w:proofErr w:type="spellStart"/>
      <w:r w:rsidRPr="00A168B2">
        <w:rPr>
          <w:rFonts w:ascii="Times New Roman" w:hAnsi="Times New Roman"/>
          <w:lang w:eastAsia="fr-FR"/>
        </w:rPr>
        <w:t>Assourate</w:t>
      </w:r>
      <w:proofErr w:type="spellEnd"/>
      <w:r w:rsidRPr="00A168B2">
        <w:rPr>
          <w:rFonts w:ascii="Times New Roman" w:hAnsi="Times New Roman"/>
          <w:lang w:eastAsia="fr-FR"/>
        </w:rPr>
        <w:t xml:space="preserve"> (artisanat), dans la région de </w:t>
      </w:r>
      <w:proofErr w:type="spellStart"/>
      <w:r w:rsidRPr="00A168B2">
        <w:rPr>
          <w:rFonts w:ascii="Times New Roman" w:hAnsi="Times New Roman"/>
          <w:lang w:eastAsia="fr-FR"/>
        </w:rPr>
        <w:t>Tadjourah</w:t>
      </w:r>
      <w:proofErr w:type="spellEnd"/>
      <w:r w:rsidRPr="00A168B2">
        <w:rPr>
          <w:rFonts w:ascii="Times New Roman" w:hAnsi="Times New Roman"/>
          <w:lang w:eastAsia="fr-FR"/>
        </w:rPr>
        <w:t>.</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t>Lot n°4 :</w:t>
      </w:r>
      <w:r w:rsidRPr="00A168B2">
        <w:rPr>
          <w:rFonts w:ascii="Times New Roman" w:hAnsi="Times New Roman"/>
          <w:lang w:eastAsia="fr-FR"/>
        </w:rPr>
        <w:t xml:space="preserve"> Construction d’un bâtiment à Gal-</w:t>
      </w:r>
      <w:proofErr w:type="spellStart"/>
      <w:r w:rsidRPr="00A168B2">
        <w:rPr>
          <w:rFonts w:ascii="Times New Roman" w:hAnsi="Times New Roman"/>
          <w:lang w:eastAsia="fr-FR"/>
        </w:rPr>
        <w:t>Ela</w:t>
      </w:r>
      <w:proofErr w:type="spellEnd"/>
      <w:r w:rsidRPr="00A168B2">
        <w:rPr>
          <w:rFonts w:ascii="Times New Roman" w:hAnsi="Times New Roman"/>
          <w:lang w:eastAsia="fr-FR"/>
        </w:rPr>
        <w:t xml:space="preserve"> (apiculture) et réhabilitation d’un bâtiment existant à </w:t>
      </w:r>
      <w:proofErr w:type="spellStart"/>
      <w:r w:rsidRPr="00A168B2">
        <w:rPr>
          <w:rFonts w:ascii="Times New Roman" w:hAnsi="Times New Roman"/>
          <w:lang w:eastAsia="fr-FR"/>
        </w:rPr>
        <w:t>Garbanaba</w:t>
      </w:r>
      <w:proofErr w:type="spellEnd"/>
      <w:r w:rsidRPr="00A168B2">
        <w:rPr>
          <w:rFonts w:ascii="Times New Roman" w:hAnsi="Times New Roman"/>
          <w:lang w:eastAsia="fr-FR"/>
        </w:rPr>
        <w:t xml:space="preserve"> (apiculture), dans la région de </w:t>
      </w:r>
      <w:proofErr w:type="spellStart"/>
      <w:r w:rsidRPr="00A168B2">
        <w:rPr>
          <w:rFonts w:ascii="Times New Roman" w:hAnsi="Times New Roman"/>
          <w:lang w:eastAsia="fr-FR"/>
        </w:rPr>
        <w:t>Tadjourah</w:t>
      </w:r>
      <w:proofErr w:type="spellEnd"/>
      <w:r w:rsidRPr="00A168B2">
        <w:rPr>
          <w:rFonts w:ascii="Times New Roman" w:hAnsi="Times New Roman"/>
          <w:lang w:eastAsia="fr-FR"/>
        </w:rPr>
        <w:t>.</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t>Lot n°5 :</w:t>
      </w:r>
      <w:r w:rsidRPr="00A168B2">
        <w:rPr>
          <w:rFonts w:ascii="Times New Roman" w:hAnsi="Times New Roman"/>
          <w:lang w:eastAsia="fr-FR"/>
        </w:rPr>
        <w:t xml:space="preserve"> Construction d’un poulailler et réhabilitation du local d’artisanat à </w:t>
      </w:r>
      <w:proofErr w:type="spellStart"/>
      <w:r w:rsidRPr="00A168B2">
        <w:rPr>
          <w:rFonts w:ascii="Times New Roman" w:hAnsi="Times New Roman"/>
          <w:lang w:eastAsia="fr-FR"/>
        </w:rPr>
        <w:t>Galamo</w:t>
      </w:r>
      <w:proofErr w:type="spellEnd"/>
      <w:r w:rsidRPr="00A168B2">
        <w:rPr>
          <w:rFonts w:ascii="Times New Roman" w:hAnsi="Times New Roman"/>
          <w:lang w:eastAsia="fr-FR"/>
        </w:rPr>
        <w:t>, dans la région de Dikhil.</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t>Lot n°6 :</w:t>
      </w:r>
      <w:r w:rsidRPr="00A168B2">
        <w:rPr>
          <w:rFonts w:ascii="Times New Roman" w:hAnsi="Times New Roman"/>
          <w:lang w:eastAsia="fr-FR"/>
        </w:rPr>
        <w:t xml:space="preserve"> Construction de bâtiments (boulangerie et artisanat) à As-</w:t>
      </w:r>
      <w:proofErr w:type="spellStart"/>
      <w:r w:rsidRPr="00A168B2">
        <w:rPr>
          <w:rFonts w:ascii="Times New Roman" w:hAnsi="Times New Roman"/>
          <w:lang w:eastAsia="fr-FR"/>
        </w:rPr>
        <w:t>Eyla</w:t>
      </w:r>
      <w:proofErr w:type="spellEnd"/>
      <w:r w:rsidRPr="00A168B2">
        <w:rPr>
          <w:rFonts w:ascii="Times New Roman" w:hAnsi="Times New Roman"/>
          <w:lang w:eastAsia="fr-FR"/>
        </w:rPr>
        <w:t>, dans la région de Dikhil.</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t>Lot n°7 :</w:t>
      </w:r>
      <w:r w:rsidRPr="00A168B2">
        <w:rPr>
          <w:rFonts w:ascii="Times New Roman" w:hAnsi="Times New Roman"/>
          <w:lang w:eastAsia="fr-FR"/>
        </w:rPr>
        <w:t xml:space="preserve"> Construction de bâtiments à </w:t>
      </w:r>
      <w:proofErr w:type="spellStart"/>
      <w:r w:rsidRPr="00A168B2">
        <w:rPr>
          <w:rFonts w:ascii="Times New Roman" w:hAnsi="Times New Roman"/>
          <w:lang w:eastAsia="fr-FR"/>
        </w:rPr>
        <w:t>Bondara</w:t>
      </w:r>
      <w:proofErr w:type="spellEnd"/>
      <w:r w:rsidRPr="00A168B2">
        <w:rPr>
          <w:rFonts w:ascii="Times New Roman" w:hAnsi="Times New Roman"/>
          <w:lang w:eastAsia="fr-FR"/>
        </w:rPr>
        <w:t xml:space="preserve"> (artisanat, grossiste alimentaire) et </w:t>
      </w:r>
      <w:proofErr w:type="spellStart"/>
      <w:r w:rsidRPr="00A168B2">
        <w:rPr>
          <w:rFonts w:ascii="Times New Roman" w:hAnsi="Times New Roman"/>
          <w:lang w:eastAsia="fr-FR"/>
        </w:rPr>
        <w:t>Sankal</w:t>
      </w:r>
      <w:proofErr w:type="spellEnd"/>
      <w:r w:rsidRPr="00A168B2">
        <w:rPr>
          <w:rFonts w:ascii="Times New Roman" w:hAnsi="Times New Roman"/>
          <w:lang w:eastAsia="fr-FR"/>
        </w:rPr>
        <w:t xml:space="preserve"> (artisanat, grossiste alimentaire), dans la région de Dikhil.</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t>Lot n°8 :</w:t>
      </w:r>
      <w:r w:rsidRPr="00A168B2">
        <w:rPr>
          <w:rFonts w:ascii="Times New Roman" w:hAnsi="Times New Roman"/>
          <w:lang w:eastAsia="fr-FR"/>
        </w:rPr>
        <w:t xml:space="preserve"> Construction de bâtiments (apiculture et laiterie) à </w:t>
      </w:r>
      <w:proofErr w:type="spellStart"/>
      <w:r w:rsidRPr="00A168B2">
        <w:rPr>
          <w:rFonts w:ascii="Times New Roman" w:hAnsi="Times New Roman"/>
          <w:lang w:eastAsia="fr-FR"/>
        </w:rPr>
        <w:t>Medeho</w:t>
      </w:r>
      <w:proofErr w:type="spellEnd"/>
      <w:r w:rsidRPr="00A168B2">
        <w:rPr>
          <w:rFonts w:ascii="Times New Roman" w:hAnsi="Times New Roman"/>
          <w:lang w:eastAsia="fr-FR"/>
        </w:rPr>
        <w:t>, dans la région d’Obock.</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t>Lot n°9 :</w:t>
      </w:r>
      <w:r w:rsidRPr="00A168B2">
        <w:rPr>
          <w:rFonts w:ascii="Times New Roman" w:hAnsi="Times New Roman"/>
          <w:lang w:eastAsia="fr-FR"/>
        </w:rPr>
        <w:t xml:space="preserve"> Réhabilitation du local de la pêcherie à </w:t>
      </w:r>
      <w:proofErr w:type="spellStart"/>
      <w:r w:rsidRPr="00A168B2">
        <w:rPr>
          <w:rFonts w:ascii="Times New Roman" w:hAnsi="Times New Roman"/>
          <w:lang w:eastAsia="fr-FR"/>
        </w:rPr>
        <w:t>Dallay</w:t>
      </w:r>
      <w:proofErr w:type="spellEnd"/>
      <w:r w:rsidRPr="00A168B2">
        <w:rPr>
          <w:rFonts w:ascii="Times New Roman" w:hAnsi="Times New Roman"/>
          <w:lang w:eastAsia="fr-FR"/>
        </w:rPr>
        <w:t>-</w:t>
      </w:r>
      <w:proofErr w:type="spellStart"/>
      <w:r w:rsidRPr="00A168B2">
        <w:rPr>
          <w:rFonts w:ascii="Times New Roman" w:hAnsi="Times New Roman"/>
          <w:lang w:eastAsia="fr-FR"/>
        </w:rPr>
        <w:t>Af</w:t>
      </w:r>
      <w:proofErr w:type="spellEnd"/>
      <w:r w:rsidRPr="00A168B2">
        <w:rPr>
          <w:rFonts w:ascii="Times New Roman" w:hAnsi="Times New Roman"/>
          <w:lang w:eastAsia="fr-FR"/>
        </w:rPr>
        <w:t>, dans la région d’Obock.</w:t>
      </w:r>
    </w:p>
    <w:p w:rsidR="00A168B2" w:rsidRPr="00A168B2" w:rsidRDefault="00A168B2" w:rsidP="00A168B2">
      <w:pPr>
        <w:spacing w:before="100" w:beforeAutospacing="1" w:after="100" w:afterAutospacing="1"/>
        <w:ind w:left="720"/>
        <w:jc w:val="both"/>
        <w:rPr>
          <w:rFonts w:ascii="Times New Roman" w:hAnsi="Times New Roman"/>
          <w:lang w:eastAsia="fr-FR"/>
        </w:rPr>
      </w:pPr>
      <w:r w:rsidRPr="00A168B2">
        <w:rPr>
          <w:rFonts w:ascii="Times New Roman" w:hAnsi="Times New Roman"/>
          <w:b/>
          <w:bCs/>
          <w:lang w:eastAsia="fr-FR"/>
        </w:rPr>
        <w:t>Lot n°10 :</w:t>
      </w:r>
      <w:r w:rsidRPr="00A168B2">
        <w:rPr>
          <w:rFonts w:ascii="Times New Roman" w:hAnsi="Times New Roman"/>
          <w:lang w:eastAsia="fr-FR"/>
        </w:rPr>
        <w:t xml:space="preserve"> Construction d’un poulailler à </w:t>
      </w:r>
      <w:proofErr w:type="spellStart"/>
      <w:r w:rsidRPr="00A168B2">
        <w:rPr>
          <w:rFonts w:ascii="Times New Roman" w:hAnsi="Times New Roman"/>
          <w:lang w:eastAsia="fr-FR"/>
        </w:rPr>
        <w:t>Orobor</w:t>
      </w:r>
      <w:proofErr w:type="spellEnd"/>
      <w:r w:rsidRPr="00A168B2">
        <w:rPr>
          <w:rFonts w:ascii="Times New Roman" w:hAnsi="Times New Roman"/>
          <w:lang w:eastAsia="fr-FR"/>
        </w:rPr>
        <w:t>, dans la région d’Obock.</w:t>
      </w:r>
    </w:p>
    <w:p w:rsidR="00A168B2" w:rsidRPr="00A168B2" w:rsidRDefault="00A168B2" w:rsidP="00A168B2">
      <w:pPr>
        <w:pStyle w:val="Paragraphedeliste"/>
        <w:numPr>
          <w:ilvl w:val="0"/>
          <w:numId w:val="1"/>
        </w:numPr>
        <w:tabs>
          <w:tab w:val="left" w:pos="0"/>
        </w:tabs>
        <w:spacing w:before="240" w:line="240" w:lineRule="exact"/>
        <w:jc w:val="both"/>
        <w:rPr>
          <w:rFonts w:ascii="Times New Roman" w:hAnsi="Times New Roman" w:cs="Times New Roman"/>
          <w:bCs/>
          <w:iCs/>
        </w:rPr>
      </w:pPr>
      <w:r w:rsidRPr="00A168B2">
        <w:rPr>
          <w:rFonts w:ascii="Times New Roman" w:hAnsi="Times New Roman" w:cs="Times New Roman"/>
        </w:rPr>
        <w:t xml:space="preserve">Un entrepreneur sera sélectionné selon la procédure de mise en concurrence nationale, conformément au Guide pratique de passation des marchés du FIDA, qui peut être consulté à l’adresse suivante: </w:t>
      </w:r>
      <w:hyperlink r:id="rId7" w:history="1">
        <w:r w:rsidRPr="00A168B2">
          <w:rPr>
            <w:rStyle w:val="Lienhypertexte"/>
            <w:rFonts w:ascii="Times New Roman" w:hAnsi="Times New Roman" w:cs="Times New Roman"/>
          </w:rPr>
          <w:t>www.ifad.org/fr/project-procurement</w:t>
        </w:r>
      </w:hyperlink>
      <w:r w:rsidRPr="00A168B2">
        <w:rPr>
          <w:rFonts w:ascii="Times New Roman" w:hAnsi="Times New Roman" w:cs="Times New Roman"/>
        </w:rPr>
        <w:t>. Le processus d’appel d’offres national comportera un examen et une vérification des qualifications et des prestations antérieures; il sera notamment procédé à un contrôle des références préalablement à l’attribution du marché.</w:t>
      </w:r>
    </w:p>
    <w:p w:rsidR="00A168B2" w:rsidRPr="00A168B2" w:rsidRDefault="00A168B2" w:rsidP="00A168B2">
      <w:pPr>
        <w:numPr>
          <w:ilvl w:val="0"/>
          <w:numId w:val="1"/>
        </w:numPr>
        <w:spacing w:before="120" w:after="120"/>
        <w:ind w:right="102"/>
        <w:jc w:val="both"/>
        <w:rPr>
          <w:rFonts w:ascii="Times New Roman" w:hAnsi="Times New Roman"/>
          <w:sz w:val="22"/>
          <w:szCs w:val="22"/>
        </w:rPr>
      </w:pPr>
      <w:r w:rsidRPr="00A168B2">
        <w:rPr>
          <w:rFonts w:ascii="Times New Roman" w:hAnsi="Times New Roman"/>
        </w:rPr>
        <w:t xml:space="preserve">Veuillez noter qu’une séance d’information sera organisée à l’intention des soumissionnaires et </w:t>
      </w:r>
      <w:r w:rsidRPr="00A168B2">
        <w:rPr>
          <w:rFonts w:ascii="Times New Roman" w:hAnsi="Times New Roman"/>
          <w:sz w:val="22"/>
          <w:szCs w:val="22"/>
        </w:rPr>
        <w:t xml:space="preserve">une visite obligatoire du site est prévue pour tous les soumissionnaires souhaitant participer à un ou plusieurs lots du présent marché. Cette visite terrain permettra aux soumissionnaires de prendre connaissance des conditions locales d’exécution des travaux. Elle sera organisée à partir de la deuxième semaine suivant la date de publication de l’avis d’appel d’offres, </w:t>
      </w:r>
      <w:r w:rsidRPr="00A168B2">
        <w:rPr>
          <w:rFonts w:ascii="Times New Roman" w:hAnsi="Times New Roman"/>
        </w:rPr>
        <w:t xml:space="preserve">selon les modalités indiquées dans les données particulières de l’appel d’offres, dans la Section III du dossier </w:t>
      </w:r>
    </w:p>
    <w:p w:rsidR="00A168B2" w:rsidRPr="00A168B2" w:rsidRDefault="00A168B2" w:rsidP="00A168B2">
      <w:pPr>
        <w:pStyle w:val="Paragraphedeliste"/>
        <w:numPr>
          <w:ilvl w:val="0"/>
          <w:numId w:val="1"/>
        </w:numPr>
        <w:tabs>
          <w:tab w:val="left" w:pos="0"/>
        </w:tabs>
        <w:spacing w:before="240" w:line="240" w:lineRule="exact"/>
        <w:jc w:val="both"/>
        <w:rPr>
          <w:rFonts w:ascii="Times New Roman" w:hAnsi="Times New Roman" w:cs="Times New Roman"/>
          <w:bCs/>
          <w:iCs/>
        </w:rPr>
      </w:pPr>
      <w:r w:rsidRPr="00A168B2">
        <w:rPr>
          <w:rFonts w:ascii="Times New Roman" w:hAnsi="Times New Roman" w:cs="Times New Roman"/>
        </w:rPr>
        <w:t xml:space="preserve">Les soumissionnaires désireux de présenter une offre devront se procurer le dossier d’appel d’offres vendu pour la somme, non remboursable, de </w:t>
      </w:r>
      <w:r w:rsidRPr="00A168B2">
        <w:rPr>
          <w:rFonts w:ascii="Times New Roman" w:hAnsi="Times New Roman" w:cs="Times New Roman"/>
          <w:b/>
          <w:i/>
          <w:color w:val="FF0000"/>
          <w:lang w:val="fr-FR"/>
        </w:rPr>
        <w:t>50 000 FDJ</w:t>
      </w:r>
      <w:r w:rsidRPr="00A168B2">
        <w:rPr>
          <w:rFonts w:ascii="Times New Roman" w:hAnsi="Times New Roman" w:cs="Times New Roman"/>
          <w:i/>
          <w:color w:val="FF0000"/>
          <w:lang w:val="fr-FR"/>
        </w:rPr>
        <w:t xml:space="preserve"> </w:t>
      </w:r>
      <w:r w:rsidRPr="00A168B2">
        <w:rPr>
          <w:rFonts w:ascii="Times New Roman" w:hAnsi="Times New Roman" w:cs="Times New Roman"/>
          <w:i/>
          <w:iCs/>
        </w:rPr>
        <w:t xml:space="preserve">, </w:t>
      </w:r>
      <w:r w:rsidRPr="00A168B2">
        <w:rPr>
          <w:rFonts w:ascii="Times New Roman" w:hAnsi="Times New Roman" w:cs="Times New Roman"/>
        </w:rPr>
        <w:t>en adressant au point de contact ci-après une demande en ce sens par courrier postal ou électronique, dans laquelle devront figurer toutes leurs coordonnées. Les soumissionnaires pourront ainsi être assurés de recevoir les mises à jour dont pourrait faire l’objet le présent dossier.</w:t>
      </w:r>
    </w:p>
    <w:p w:rsidR="00A168B2" w:rsidRPr="00A168B2" w:rsidRDefault="00A168B2" w:rsidP="00A168B2">
      <w:pPr>
        <w:pStyle w:val="Paragraphedeliste"/>
        <w:spacing w:before="60" w:after="60"/>
        <w:ind w:right="102"/>
        <w:jc w:val="both"/>
        <w:rPr>
          <w:rFonts w:ascii="Times New Roman" w:hAnsi="Times New Roman" w:cs="Times New Roman"/>
          <w:b/>
          <w:bCs/>
          <w:i/>
          <w:iCs/>
          <w:sz w:val="22"/>
          <w:szCs w:val="22"/>
          <w:lang w:val="fr-FR"/>
        </w:rPr>
      </w:pPr>
      <w:r w:rsidRPr="00A168B2">
        <w:rPr>
          <w:rFonts w:ascii="Times New Roman" w:hAnsi="Times New Roman" w:cs="Times New Roman"/>
          <w:b/>
          <w:bCs/>
          <w:i/>
          <w:iCs/>
          <w:sz w:val="22"/>
          <w:szCs w:val="22"/>
          <w:lang w:val="fr-FR"/>
        </w:rPr>
        <w:t>Secrétariat de l’Unité de Gestion des Projets (UGP)</w:t>
      </w:r>
    </w:p>
    <w:p w:rsidR="00A168B2" w:rsidRPr="00A168B2" w:rsidRDefault="00A168B2" w:rsidP="00A168B2">
      <w:pPr>
        <w:pStyle w:val="Paragraphedeliste"/>
        <w:spacing w:before="60" w:after="60"/>
        <w:ind w:right="102"/>
        <w:jc w:val="both"/>
        <w:rPr>
          <w:rFonts w:ascii="Times New Roman" w:hAnsi="Times New Roman" w:cs="Times New Roman"/>
          <w:b/>
          <w:bCs/>
          <w:i/>
          <w:iCs/>
          <w:sz w:val="22"/>
          <w:szCs w:val="22"/>
          <w:lang w:val="fr-FR"/>
        </w:rPr>
      </w:pPr>
      <w:r w:rsidRPr="00A168B2">
        <w:rPr>
          <w:rFonts w:ascii="Times New Roman" w:hAnsi="Times New Roman" w:cs="Times New Roman"/>
          <w:b/>
          <w:bCs/>
          <w:i/>
          <w:iCs/>
          <w:sz w:val="22"/>
          <w:szCs w:val="22"/>
          <w:lang w:val="fr-FR"/>
        </w:rPr>
        <w:t>Au Ministère de l’Agriculture, de l’Eau, de la Pêche, de l’Élevage et</w:t>
      </w:r>
    </w:p>
    <w:p w:rsidR="00A168B2" w:rsidRPr="00A168B2" w:rsidRDefault="00A168B2" w:rsidP="00A168B2">
      <w:pPr>
        <w:pStyle w:val="Paragraphedeliste"/>
        <w:spacing w:before="60" w:after="60"/>
        <w:ind w:right="102"/>
        <w:jc w:val="both"/>
        <w:rPr>
          <w:rFonts w:ascii="Times New Roman" w:hAnsi="Times New Roman" w:cs="Times New Roman"/>
          <w:b/>
          <w:bCs/>
          <w:i/>
          <w:iCs/>
          <w:sz w:val="22"/>
          <w:szCs w:val="22"/>
          <w:lang w:val="fr-FR"/>
        </w:rPr>
      </w:pPr>
      <w:proofErr w:type="gramStart"/>
      <w:r w:rsidRPr="00A168B2">
        <w:rPr>
          <w:rFonts w:ascii="Times New Roman" w:hAnsi="Times New Roman" w:cs="Times New Roman"/>
          <w:b/>
          <w:bCs/>
          <w:i/>
          <w:iCs/>
          <w:sz w:val="22"/>
          <w:szCs w:val="22"/>
          <w:lang w:val="fr-FR"/>
        </w:rPr>
        <w:t>des</w:t>
      </w:r>
      <w:proofErr w:type="gramEnd"/>
      <w:r w:rsidRPr="00A168B2">
        <w:rPr>
          <w:rFonts w:ascii="Times New Roman" w:hAnsi="Times New Roman" w:cs="Times New Roman"/>
          <w:b/>
          <w:bCs/>
          <w:i/>
          <w:iCs/>
          <w:sz w:val="22"/>
          <w:szCs w:val="22"/>
          <w:lang w:val="fr-FR"/>
        </w:rPr>
        <w:t xml:space="preserve"> Ressources Halieutiques (MAEPE-RH) / Zone Industrielle/ Djibouti ville</w:t>
      </w:r>
      <w:r w:rsidRPr="00A168B2">
        <w:rPr>
          <w:rFonts w:ascii="Times New Roman" w:hAnsi="Times New Roman" w:cs="Times New Roman"/>
          <w:b/>
          <w:bCs/>
          <w:i/>
          <w:iCs/>
          <w:sz w:val="22"/>
          <w:szCs w:val="22"/>
        </w:rPr>
        <w:t>Tél : (+253) 21-34-17-26</w:t>
      </w:r>
    </w:p>
    <w:p w:rsidR="00A168B2" w:rsidRPr="00A168B2" w:rsidRDefault="00A168B2" w:rsidP="00A168B2">
      <w:pPr>
        <w:pStyle w:val="Paragraphedeliste"/>
        <w:numPr>
          <w:ilvl w:val="0"/>
          <w:numId w:val="2"/>
        </w:numPr>
        <w:spacing w:before="60" w:after="60"/>
        <w:ind w:right="102"/>
        <w:jc w:val="both"/>
        <w:rPr>
          <w:rFonts w:ascii="Times New Roman" w:hAnsi="Times New Roman" w:cs="Times New Roman"/>
          <w:b/>
          <w:bCs/>
          <w:i/>
          <w:color w:val="FF0000"/>
        </w:rPr>
      </w:pPr>
      <w:r w:rsidRPr="00A168B2">
        <w:rPr>
          <w:rFonts w:ascii="Times New Roman" w:hAnsi="Times New Roman" w:cs="Times New Roman"/>
        </w:rPr>
        <w:t xml:space="preserve">Les offres devront parvenir à l’adresse et selon les modalités indiquées dans les données particulières de l’appel d’offres – instructions à l’intention des soumissionnaires – clause 22.1, au plus tard le </w:t>
      </w:r>
      <w:r w:rsidRPr="00A168B2">
        <w:rPr>
          <w:rFonts w:ascii="Times New Roman" w:hAnsi="Times New Roman" w:cs="Times New Roman"/>
          <w:b/>
          <w:i/>
          <w:color w:val="FF0000"/>
          <w:lang w:val="fr-FR"/>
        </w:rPr>
        <w:t>Mercredi 26 novembre 2025 à 8h30</w:t>
      </w:r>
      <w:r w:rsidRPr="00A168B2">
        <w:rPr>
          <w:rFonts w:ascii="Times New Roman" w:hAnsi="Times New Roman" w:cs="Times New Roman"/>
          <w:i/>
          <w:color w:val="FF0000"/>
          <w:lang w:val="fr-FR"/>
        </w:rPr>
        <w:t>,</w:t>
      </w:r>
      <w:r w:rsidRPr="00A168B2">
        <w:rPr>
          <w:rFonts w:ascii="Times New Roman" w:hAnsi="Times New Roman" w:cs="Times New Roman"/>
          <w:b/>
          <w:bCs/>
        </w:rPr>
        <w:t xml:space="preserve"> Ouverture des plis le </w:t>
      </w:r>
      <w:r w:rsidRPr="00A168B2">
        <w:rPr>
          <w:rFonts w:ascii="Times New Roman" w:hAnsi="Times New Roman" w:cs="Times New Roman"/>
          <w:b/>
          <w:bCs/>
          <w:i/>
          <w:color w:val="FF0000"/>
        </w:rPr>
        <w:t>26/11/2025,</w:t>
      </w:r>
      <w:r w:rsidRPr="00A168B2">
        <w:rPr>
          <w:rFonts w:ascii="Times New Roman" w:hAnsi="Times New Roman" w:cs="Times New Roman"/>
          <w:b/>
          <w:bCs/>
        </w:rPr>
        <w:t xml:space="preserve"> à </w:t>
      </w:r>
      <w:r w:rsidRPr="00A168B2">
        <w:rPr>
          <w:rFonts w:ascii="Times New Roman" w:hAnsi="Times New Roman" w:cs="Times New Roman"/>
          <w:b/>
          <w:bCs/>
          <w:color w:val="FF0000"/>
        </w:rPr>
        <w:t xml:space="preserve">9h00 heures de Djibouti </w:t>
      </w:r>
      <w:r w:rsidRPr="00A168B2">
        <w:rPr>
          <w:rFonts w:ascii="Times New Roman" w:hAnsi="Times New Roman" w:cs="Times New Roman"/>
          <w:b/>
          <w:bCs/>
        </w:rPr>
        <w:t xml:space="preserve">le même jour, à </w:t>
      </w:r>
      <w:r w:rsidRPr="00A168B2">
        <w:rPr>
          <w:rFonts w:ascii="Times New Roman" w:hAnsi="Times New Roman" w:cs="Times New Roman"/>
          <w:b/>
          <w:bCs/>
        </w:rPr>
        <w:lastRenderedPageBreak/>
        <w:t>l’adresse suivante (si elle est différente de celle indiquée pour la soumission des offres) </w:t>
      </w:r>
      <w:r w:rsidRPr="00A168B2">
        <w:rPr>
          <w:rFonts w:ascii="Times New Roman" w:hAnsi="Times New Roman" w:cs="Times New Roman"/>
          <w:b/>
          <w:bCs/>
          <w:lang w:val="fr-FR"/>
        </w:rPr>
        <w:t xml:space="preserve">: </w:t>
      </w:r>
      <w:r w:rsidRPr="00A168B2">
        <w:rPr>
          <w:rFonts w:ascii="Times New Roman" w:hAnsi="Times New Roman" w:cs="Times New Roman"/>
          <w:b/>
          <w:bCs/>
          <w:i/>
          <w:color w:val="FF0000"/>
        </w:rPr>
        <w:t>Salle de réunion du palais du peuple (1</w:t>
      </w:r>
      <w:r w:rsidRPr="00A168B2">
        <w:rPr>
          <w:rFonts w:ascii="Times New Roman" w:hAnsi="Times New Roman" w:cs="Times New Roman"/>
          <w:b/>
          <w:bCs/>
          <w:i/>
          <w:color w:val="FF0000"/>
          <w:vertAlign w:val="superscript"/>
        </w:rPr>
        <w:t>er</w:t>
      </w:r>
      <w:r w:rsidRPr="00A168B2">
        <w:rPr>
          <w:rFonts w:ascii="Times New Roman" w:hAnsi="Times New Roman" w:cs="Times New Roman"/>
          <w:b/>
          <w:bCs/>
          <w:i/>
          <w:color w:val="FF0000"/>
        </w:rPr>
        <w:t xml:space="preserve"> étage) CNMP</w:t>
      </w:r>
    </w:p>
    <w:p w:rsidR="00A168B2" w:rsidRPr="00A168B2" w:rsidRDefault="00A168B2" w:rsidP="00A168B2">
      <w:pPr>
        <w:pStyle w:val="Paragraphedeliste"/>
        <w:numPr>
          <w:ilvl w:val="0"/>
          <w:numId w:val="2"/>
        </w:numPr>
        <w:tabs>
          <w:tab w:val="left" w:pos="0"/>
        </w:tabs>
        <w:spacing w:before="240" w:line="240" w:lineRule="exact"/>
        <w:jc w:val="both"/>
        <w:rPr>
          <w:rFonts w:ascii="Times New Roman" w:hAnsi="Times New Roman" w:cs="Times New Roman"/>
          <w:bCs/>
          <w:iCs/>
        </w:rPr>
      </w:pPr>
      <w:r w:rsidRPr="00A168B2">
        <w:rPr>
          <w:rFonts w:ascii="Times New Roman" w:hAnsi="Times New Roman" w:cs="Times New Roman"/>
        </w:rPr>
        <w:t>Les soumissions hors délai ne seront en aucun cas acceptées et seront renvoyées sans avoir été ouvertes sur demande écrite et aux frais du soumissionnaire. Toutes les offres devront être assorties d’une garantie de soumission , dont les modalités et le montant sont précisés dans les données particulières de l’appel d’offres.</w:t>
      </w:r>
    </w:p>
    <w:p w:rsidR="00A168B2" w:rsidRPr="00A168B2" w:rsidRDefault="00A168B2" w:rsidP="00A168B2">
      <w:pPr>
        <w:pStyle w:val="Paragraphedeliste"/>
        <w:numPr>
          <w:ilvl w:val="0"/>
          <w:numId w:val="2"/>
        </w:numPr>
        <w:tabs>
          <w:tab w:val="left" w:pos="0"/>
        </w:tabs>
        <w:spacing w:before="240" w:line="240" w:lineRule="exact"/>
        <w:jc w:val="both"/>
        <w:rPr>
          <w:rFonts w:ascii="Times New Roman" w:hAnsi="Times New Roman" w:cs="Times New Roman"/>
          <w:bCs/>
          <w:iCs/>
        </w:rPr>
      </w:pPr>
      <w:r w:rsidRPr="00A168B2">
        <w:rPr>
          <w:rFonts w:ascii="Times New Roman" w:hAnsi="Times New Roman" w:cs="Times New Roman"/>
        </w:rPr>
        <w:t xml:space="preserve">Veuillez noter que les offres électroniques </w:t>
      </w:r>
      <w:r w:rsidRPr="00A168B2">
        <w:rPr>
          <w:rFonts w:ascii="Times New Roman" w:hAnsi="Times New Roman" w:cs="Times New Roman"/>
          <w:i/>
          <w:iCs/>
          <w:color w:val="FF0000"/>
        </w:rPr>
        <w:t>ne sont pas</w:t>
      </w:r>
      <w:r w:rsidRPr="00A168B2">
        <w:rPr>
          <w:rFonts w:ascii="Times New Roman" w:hAnsi="Times New Roman" w:cs="Times New Roman"/>
        </w:rPr>
        <w:t xml:space="preserve"> acceptées.</w:t>
      </w:r>
    </w:p>
    <w:p w:rsidR="00A168B2" w:rsidRPr="00A168B2" w:rsidRDefault="00A168B2" w:rsidP="00A168B2">
      <w:pPr>
        <w:rPr>
          <w:rFonts w:ascii="Times New Roman" w:hAnsi="Times New Roman"/>
          <w:sz w:val="22"/>
          <w:szCs w:val="22"/>
          <w:lang/>
        </w:rPr>
      </w:pPr>
    </w:p>
    <w:p w:rsidR="00A168B2" w:rsidRPr="00A168B2" w:rsidRDefault="00A168B2" w:rsidP="00A168B2">
      <w:pPr>
        <w:rPr>
          <w:rFonts w:ascii="Times New Roman" w:hAnsi="Times New Roman"/>
          <w:sz w:val="22"/>
          <w:szCs w:val="22"/>
          <w:lang/>
        </w:rPr>
      </w:pPr>
    </w:p>
    <w:p w:rsidR="00CC30CC" w:rsidRPr="00A168B2" w:rsidRDefault="00CC30CC">
      <w:pPr>
        <w:rPr>
          <w:rFonts w:ascii="Times New Roman" w:hAnsi="Times New Roman"/>
        </w:rPr>
      </w:pPr>
    </w:p>
    <w:sectPr w:rsidR="00CC30CC" w:rsidRPr="00A168B2" w:rsidSect="006D338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5A9" w:rsidRDefault="000B05A9" w:rsidP="00A168B2">
      <w:r>
        <w:separator/>
      </w:r>
    </w:p>
  </w:endnote>
  <w:endnote w:type="continuationSeparator" w:id="0">
    <w:p w:rsidR="000B05A9" w:rsidRDefault="000B05A9" w:rsidP="00A16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5A9" w:rsidRDefault="000B05A9" w:rsidP="00A168B2">
      <w:r>
        <w:separator/>
      </w:r>
    </w:p>
  </w:footnote>
  <w:footnote w:type="continuationSeparator" w:id="0">
    <w:p w:rsidR="000B05A9" w:rsidRDefault="000B05A9" w:rsidP="00A168B2">
      <w:r>
        <w:continuationSeparator/>
      </w:r>
    </w:p>
  </w:footnote>
  <w:footnote w:id="1">
    <w:p w:rsidR="00A168B2" w:rsidRDefault="00A168B2" w:rsidP="00A168B2">
      <w:pPr>
        <w:pStyle w:val="Notedebasdepage"/>
      </w:pPr>
      <w:r>
        <w:rPr>
          <w:rStyle w:val="Appelnotedebasdep"/>
          <w:rFonts w:eastAsiaTheme="majorEastAsia"/>
        </w:rPr>
        <w:footnoteRef/>
      </w:r>
      <w:r>
        <w:t xml:space="preserve"> Dans les contrats à prix fixes, remplacer "devis quantitatif" par </w:t>
      </w:r>
      <w:r>
        <w:rPr>
          <w:rFonts w:ascii="Times New Roman" w:hAnsi="Times New Roman"/>
        </w:rPr>
        <w:t>"</w:t>
      </w:r>
      <w:r>
        <w:t>calendrier des activités</w:t>
      </w:r>
      <w:r>
        <w:rPr>
          <w:rFonts w:ascii="Times New Roman" w:hAnsi="Times New Roman"/>
        </w:rPr>
        <w:t>"</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C33"/>
    <w:multiLevelType w:val="hybridMultilevel"/>
    <w:tmpl w:val="44B2EE58"/>
    <w:lvl w:ilvl="0" w:tplc="BA04A19C">
      <w:start w:val="1"/>
      <w:numFmt w:val="decimal"/>
      <w:lvlText w:val="%1-"/>
      <w:lvlJc w:val="left"/>
      <w:pPr>
        <w:ind w:left="720" w:hanging="360"/>
      </w:pPr>
      <w:rPr>
        <w:sz w:val="2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7F4E3603"/>
    <w:multiLevelType w:val="hybridMultilevel"/>
    <w:tmpl w:val="9BEE7B9A"/>
    <w:lvl w:ilvl="0" w:tplc="4E22CDDC">
      <w:start w:val="10"/>
      <w:numFmt w:val="decimal"/>
      <w:lvlText w:val="%1-"/>
      <w:lvlJc w:val="left"/>
      <w:pPr>
        <w:ind w:left="720" w:hanging="360"/>
      </w:pPr>
      <w:rPr>
        <w:sz w:val="2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A168B2"/>
    <w:rsid w:val="000B05A9"/>
    <w:rsid w:val="0065160B"/>
    <w:rsid w:val="006D338F"/>
    <w:rsid w:val="00A168B2"/>
    <w:rsid w:val="00BB222E"/>
    <w:rsid w:val="00CC30CC"/>
    <w:rsid w:val="00D7285E"/>
    <w:rsid w:val="00DA7884"/>
    <w:rsid w:val="00E6086E"/>
    <w:rsid w:val="00E6479C"/>
    <w:rsid w:val="00F2724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B2"/>
    <w:pPr>
      <w:spacing w:after="0" w:line="240" w:lineRule="auto"/>
    </w:pPr>
    <w:rPr>
      <w:rFonts w:ascii="Arial" w:eastAsia="Times New Roman" w:hAnsi="Arial" w:cs="Times New Roman"/>
      <w:sz w:val="24"/>
      <w:szCs w:val="24"/>
    </w:rPr>
  </w:style>
  <w:style w:type="paragraph" w:styleId="Titre1">
    <w:name w:val="heading 1"/>
    <w:basedOn w:val="Normal"/>
    <w:next w:val="Normal"/>
    <w:link w:val="Titre1Car"/>
    <w:uiPriority w:val="9"/>
    <w:qFormat/>
    <w:rsid w:val="00A168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aliases w:val="TOC ADB"/>
    <w:uiPriority w:val="99"/>
    <w:semiHidden/>
    <w:unhideWhenUsed/>
    <w:qFormat/>
    <w:rsid w:val="00A168B2"/>
    <w:rPr>
      <w:color w:val="0000FF"/>
      <w:u w:val="single"/>
    </w:rPr>
  </w:style>
  <w:style w:type="paragraph" w:styleId="Notedebasdepage">
    <w:name w:val="footnote text"/>
    <w:basedOn w:val="Normal"/>
    <w:link w:val="NotedebasdepageCar"/>
    <w:uiPriority w:val="99"/>
    <w:semiHidden/>
    <w:unhideWhenUsed/>
    <w:qFormat/>
    <w:rsid w:val="00A168B2"/>
    <w:rPr>
      <w:sz w:val="20"/>
      <w:szCs w:val="20"/>
      <w:lang/>
    </w:rPr>
  </w:style>
  <w:style w:type="character" w:customStyle="1" w:styleId="NotedebasdepageCar">
    <w:name w:val="Note de bas de page Car"/>
    <w:basedOn w:val="Policepardfaut"/>
    <w:link w:val="Notedebasdepage"/>
    <w:uiPriority w:val="99"/>
    <w:semiHidden/>
    <w:rsid w:val="00A168B2"/>
    <w:rPr>
      <w:rFonts w:ascii="Arial" w:eastAsia="Times New Roman" w:hAnsi="Arial" w:cs="Times New Roman"/>
      <w:sz w:val="20"/>
      <w:szCs w:val="20"/>
      <w:lang/>
    </w:rPr>
  </w:style>
  <w:style w:type="paragraph" w:styleId="Commentaire">
    <w:name w:val="annotation text"/>
    <w:basedOn w:val="Normal"/>
    <w:link w:val="CommentaireCar"/>
    <w:uiPriority w:val="99"/>
    <w:semiHidden/>
    <w:unhideWhenUsed/>
    <w:rsid w:val="00A168B2"/>
    <w:rPr>
      <w:sz w:val="20"/>
      <w:szCs w:val="20"/>
    </w:rPr>
  </w:style>
  <w:style w:type="character" w:customStyle="1" w:styleId="CommentaireCar">
    <w:name w:val="Commentaire Car"/>
    <w:basedOn w:val="Policepardfaut"/>
    <w:link w:val="Commentaire"/>
    <w:uiPriority w:val="99"/>
    <w:semiHidden/>
    <w:rsid w:val="00A168B2"/>
    <w:rPr>
      <w:rFonts w:ascii="Arial" w:eastAsia="Times New Roman" w:hAnsi="Arial" w:cs="Times New Roman"/>
      <w:sz w:val="20"/>
      <w:szCs w:val="20"/>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locked/>
    <w:rsid w:val="00A168B2"/>
    <w:rPr>
      <w:sz w:val="24"/>
      <w:szCs w:val="24"/>
      <w:lang/>
    </w:rPr>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Bullets,Paragraph Bullets"/>
    <w:basedOn w:val="Normal"/>
    <w:link w:val="ParagraphedelisteCar"/>
    <w:uiPriority w:val="34"/>
    <w:qFormat/>
    <w:rsid w:val="00A168B2"/>
    <w:pPr>
      <w:ind w:left="720"/>
    </w:pPr>
    <w:rPr>
      <w:rFonts w:asciiTheme="minorHAnsi" w:eastAsiaTheme="minorHAnsi" w:hAnsiTheme="minorHAnsi" w:cstheme="minorBidi"/>
      <w:lang/>
    </w:rPr>
  </w:style>
  <w:style w:type="paragraph" w:customStyle="1" w:styleId="SectionHeading">
    <w:name w:val="Section Heading"/>
    <w:basedOn w:val="Titre1"/>
    <w:next w:val="Marquedecommentaire"/>
    <w:qFormat/>
    <w:rsid w:val="00A168B2"/>
    <w:pPr>
      <w:tabs>
        <w:tab w:val="left" w:pos="0"/>
      </w:tabs>
      <w:spacing w:before="120"/>
      <w:jc w:val="center"/>
    </w:pPr>
    <w:rPr>
      <w:rFonts w:ascii="Arial" w:eastAsia="Times New Roman" w:hAnsi="Arial" w:cs="Arial"/>
      <w:color w:val="000000"/>
      <w:sz w:val="32"/>
      <w:szCs w:val="32"/>
      <w:lang/>
    </w:rPr>
  </w:style>
  <w:style w:type="character" w:styleId="Appelnotedebasdep">
    <w:name w:val="footnote reference"/>
    <w:uiPriority w:val="99"/>
    <w:semiHidden/>
    <w:unhideWhenUsed/>
    <w:rsid w:val="00A168B2"/>
    <w:rPr>
      <w:vertAlign w:val="superscript"/>
    </w:rPr>
  </w:style>
  <w:style w:type="character" w:styleId="Marquedecommentaire">
    <w:name w:val="annotation reference"/>
    <w:uiPriority w:val="99"/>
    <w:semiHidden/>
    <w:unhideWhenUsed/>
    <w:rsid w:val="00A168B2"/>
    <w:rPr>
      <w:sz w:val="16"/>
      <w:szCs w:val="16"/>
    </w:rPr>
  </w:style>
  <w:style w:type="character" w:customStyle="1" w:styleId="Titre1Car">
    <w:name w:val="Titre 1 Car"/>
    <w:basedOn w:val="Policepardfaut"/>
    <w:link w:val="Titre1"/>
    <w:uiPriority w:val="9"/>
    <w:rsid w:val="00A168B2"/>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A168B2"/>
    <w:rPr>
      <w:rFonts w:ascii="Tahoma" w:hAnsi="Tahoma" w:cs="Tahoma"/>
      <w:sz w:val="16"/>
      <w:szCs w:val="16"/>
    </w:rPr>
  </w:style>
  <w:style w:type="character" w:customStyle="1" w:styleId="TextedebullesCar">
    <w:name w:val="Texte de bulles Car"/>
    <w:basedOn w:val="Policepardfaut"/>
    <w:link w:val="Textedebulles"/>
    <w:uiPriority w:val="99"/>
    <w:semiHidden/>
    <w:rsid w:val="00A168B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ad.org/fr/project-proc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5081</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2025-10-23T07:25:00Z</dcterms:created>
  <dcterms:modified xsi:type="dcterms:W3CDTF">2025-10-23T07:26:00Z</dcterms:modified>
</cp:coreProperties>
</file>